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фиша-10-июля"/>
    <w:p>
      <w:pPr>
        <w:pStyle w:val="Heading3"/>
      </w:pPr>
      <w:r>
        <w:t xml:space="preserve">Афиша 10 июля</w:t>
      </w:r>
    </w:p>
    <w:p>
      <w:pPr>
        <w:pStyle w:val="FirstParagraph"/>
      </w:pPr>
      <w:r>
        <w:t xml:space="preserve">04.07.2022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un-hormn.mos.ru/www/upload/medialibrary/c56/lj18tug5vyeq1wlm8bzgck9f96elacp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http://mun-hormn.mos.ru/presscenter/news/detail/10911258.html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un-hormn.mos.ru" TargetMode="External" /><Relationship Type="http://schemas.openxmlformats.org/officeDocument/2006/relationships/hyperlink" Id="rId23" Target="http://mun-hormn.mos.ru/presscenter/news/detail/10911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un-hormn.mos.ru" TargetMode="External" /><Relationship Type="http://schemas.openxmlformats.org/officeDocument/2006/relationships/hyperlink" Id="rId23" Target="http://mun-hormn.mos.ru/presscenter/news/detail/10911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2024-06-14T05:26:29Z</dcterms:created>
  <dcterms:modified xsi:type="dcterms:W3CDTF">2024-06-14T05:26:29Z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