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07ebde72d0ce1a5a1dd493cf2ee4afcfb99bf"/>
    <w:p>
      <w:pPr>
        <w:pStyle w:val="Heading3"/>
      </w:pPr>
      <w:r>
        <w:t xml:space="preserve">Новеллы в законодательстве о государственном контроле.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С 25.07.2022 смягчена административная ответственность за правонарушения в области предпринимательской деятельности.</w:t>
      </w:r>
      <w:r>
        <w:br/>
      </w:r>
      <w:r>
        <w:t xml:space="preserve">Возбуждение в отношении бизнеса дел об административных правонарушениях возможно только по результатам проверки контролирующего органа после вручения предпринимателю акта о ее проведении.</w:t>
      </w:r>
      <w:r>
        <w:br/>
      </w:r>
      <w:r>
        <w:t xml:space="preserve">Исключение: административное дело может быть возбуждено до оформления результатов проверки в рамках постоянного государственного контроля и постоянного рейда в случае необходимости изъятия вещей, документов, ареста товаров, транспортных средств и иных вещей, временного запрета деятельности организации.</w:t>
      </w:r>
      <w:r>
        <w:br/>
      </w:r>
      <w:r>
        <w:t xml:space="preserve">Расширено применение правила о замене административного штрафа на предупреждение за впервые совершенное правонарушение на всех без исключения предпринимателей, ранее применяемое только к коммерческим организациям, субъектам малого и среднего предпринимательства.</w:t>
      </w:r>
      <w:r>
        <w:br/>
      </w:r>
      <w:r>
        <w:t xml:space="preserve">Для органов, в полномочия которых входит привлечение к административной ответственности, установлена обязанность назначать административный штраф в минимальном размере в случае предотвращения лицом вредных последствий правонарушения либо добровольного возмещения или устранения причиненного ущерба.</w:t>
      </w:r>
      <w:r>
        <w:br/>
      </w:r>
      <w:r>
        <w:t xml:space="preserve">Привлеченным к административной ответственности предоставлена возможность уплаты штрафа в половинном размере в течение 20 дней с момента назначения наказания, а также с 1 до 6 месяцев увеличен возможный период отсрочки его оплаты.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2024-06-26T21:00:38Z</dcterms:created>
  <dcterms:modified xsi:type="dcterms:W3CDTF">2024-06-26T21:00:38Z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