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4bfc2a6c1aca35deb4e4e466046c15382f11a5"/>
    <w:p>
      <w:pPr>
        <w:pStyle w:val="Heading3"/>
      </w:pPr>
      <w:r>
        <w:t xml:space="preserve">23 июня 2024 года состоятся праздничные мероприятия «Здравствуй, Троица Святая!» и День района</w:t>
      </w:r>
    </w:p>
    <w:p>
      <w:pPr>
        <w:pStyle w:val="FirstParagraph"/>
      </w:pPr>
      <w:r>
        <w:t xml:space="preserve">19.06.2024</w:t>
      </w:r>
    </w:p>
    <w:p>
      <w:pPr>
        <w:pStyle w:val="BodyText"/>
      </w:pPr>
      <w:r>
        <w:drawing>
          <wp:inline>
            <wp:extent cx="5334000" cy="75525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un-hormn.mos.ru/www/upload/2024/9cd45547-61c5-4413-8935-9b3791101ee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2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http://mun-hormn.mos.ru/presscenter/news/detail/12430234.html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24302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24302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2025-07-26T10:26:46Z</dcterms:created>
  <dcterms:modified xsi:type="dcterms:W3CDTF">2025-07-26T10:26:46Z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