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2773a7ac1f8ac3ea7af5b62bf191964e90235ed"/>
    <w:p>
      <w:pPr>
        <w:pStyle w:val="Heading3"/>
      </w:pPr>
      <w:r>
        <w:t xml:space="preserve">В день 83-й годовщины начала контрнаступления Красной Армии в битве под Москвой представители администрации нашего муниципального округа, общественные советники и члены молодежного парламента Москвы возложили цветы к памятникам Народным ополченцам и Герою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051224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un-hormn.mos.ru/www/051224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un-hormn.mos.ru/www/051224/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un-hormn.mos.ru/www/051224/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un-hormn.mos.ru/www/051224/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mun-hormn.mos.ru/www/051224/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http://mun-hormn.mos.ru/presscenter/news/detail/12705772.html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hyperlink" Id="rId39" Target="http://mun-hormn.mos.ru" TargetMode="External" /><Relationship Type="http://schemas.openxmlformats.org/officeDocument/2006/relationships/hyperlink" Id="rId38" Target="http://mun-hormn.mos.ru/presscenter/news/detail/127057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mun-hormn.mos.ru" TargetMode="External" /><Relationship Type="http://schemas.openxmlformats.org/officeDocument/2006/relationships/hyperlink" Id="rId38" Target="http://mun-hormn.mos.ru/presscenter/news/detail/127057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2025-07-26T10:26:39Z</dcterms:created>
  <dcterms:modified xsi:type="dcterms:W3CDTF">2025-07-26T10:26:39Z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