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день-победы"/>
    <w:p>
      <w:pPr>
        <w:pStyle w:val="Heading3"/>
      </w:pPr>
      <w:r>
        <w:t xml:space="preserve">День Победы</w:t>
      </w:r>
    </w:p>
    <w:p>
      <w:pPr>
        <w:pStyle w:val="FirstParagraph"/>
      </w:pPr>
      <w:r>
        <w:t xml:space="preserve">10.04.2025</w:t>
      </w:r>
    </w:p>
    <w:p>
      <w:pPr>
        <w:pStyle w:val="BodyText"/>
      </w:pPr>
      <w:r>
        <w:drawing>
          <wp:inline>
            <wp:extent cx="5334000" cy="753717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un-hormn.mos.ru/www/2025/Scan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71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http://mun-hormn.mos.ru/presscenter/news/detail/12907670.html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29076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29076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2025-08-05T21:55:57Z</dcterms:created>
  <dcterms:modified xsi:type="dcterms:W3CDTF">2025-08-05T21:55:57Z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