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3d70a09ddc0fb1927206404021f3050d63839"/>
    <w:p>
      <w:pPr>
        <w:pStyle w:val="Heading3"/>
      </w:pPr>
      <w:r>
        <w:t xml:space="preserve">В 2015 году налог на имущество в Москве будет в 5 раз ниже федерального норматива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В сообщении пресс-службы департамента экономической политики и развития Москвы говорится о том, что с 1 января 2015 года в Москве может появиться новый порядок расчета налога на имущество физлиц от кадастровой стоимости.</w:t>
      </w:r>
    </w:p>
    <w:p>
      <w:pPr>
        <w:pStyle w:val="BodyText"/>
      </w:pPr>
      <w:r>
        <w:t xml:space="preserve">В частности, в отношении жилья и хозяйственных построек площадью до 50 квадратных метров при кадастровой стоимости одного объекта до 10 миллионов рублей включительно ставка налога может составить 0,1%. При цене от 10 до 20 миллионов рублей включительно — 0,15%, свыше 20 миллионов до 50 миллионов рублей — 0,2%, свыше 50 миллионов до 300 миллионов рублей — 0,3%.</w:t>
      </w:r>
    </w:p>
    <w:p>
      <w:pPr>
        <w:pStyle w:val="BodyText"/>
      </w:pPr>
      <w:r>
        <w:t xml:space="preserve">Ставка на офисы, объекты торговли, общественного питания, а также объекты налогообложения, кадастровая стоимость каждого из которых превышает 300 миллионов рублей, составит 2%.</w:t>
      </w:r>
    </w:p>
    <w:p>
      <w:pPr>
        <w:pStyle w:val="BodyText"/>
      </w:pPr>
      <w:r>
        <w:t xml:space="preserve">Гаражи и машиноместа могут облагаться налогом по ставке 0,1%, объекты незавершенного строительства, если проектируемым назначением таких объектов является жилой дом — по ставке 0,3%. Прочие объекты недвижимости могут облагаться налогом на доходы физлиц по ставке 0,5%.</w:t>
      </w:r>
    </w:p>
    <w:p>
      <w:pPr>
        <w:pStyle w:val="BodyText"/>
      </w:pPr>
      <w:r>
        <w:t xml:space="preserve">«Первые выплаты по новой системе придутся на второе полугодие 2016 года, а окончательно новая система вступит в силу только в 2020 году», — говорится в сообщении департамента.</w:t>
      </w:r>
    </w:p>
    <w:p>
      <w:pPr>
        <w:pStyle w:val="BodyText"/>
      </w:pPr>
      <w:r>
        <w:t xml:space="preserve">В сообщении особо отмечается, что для 74% москвичей ставка налога будет ниже в три раза, чем это предполагают федеральные стандарты. При этом в 2015 году ставка будет в 5 раз ниже по сравнению с федеральной.</w:t>
      </w:r>
    </w:p>
    <w:p>
      <w:pPr>
        <w:pStyle w:val="BodyText"/>
      </w:pPr>
      <w:r>
        <w:t xml:space="preserve">В ближайшее время утвержденные предложения будут внесены на рассмотрение в Московскую городскую 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http://mun-hormn.mos.ru/presscenter/news/detail/1348901.html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4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4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2025-07-03T02:27:43Z</dcterms:created>
  <dcterms:modified xsi:type="dcterms:W3CDTF">2025-07-03T02:27:43Z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