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5859499a7cc13991bd6b32dcf8e8afb56bc7fa"/>
    <w:p>
      <w:pPr>
        <w:pStyle w:val="Heading3"/>
      </w:pPr>
      <w:r>
        <w:t xml:space="preserve">Утилизация отходов и крупногабаритного мусора</w:t>
      </w:r>
    </w:p>
    <w:p>
      <w:pPr>
        <w:pStyle w:val="FirstParagraph"/>
      </w:pPr>
      <w:r>
        <w:t xml:space="preserve">10.11.2020</w:t>
      </w:r>
    </w:p>
    <w:p>
      <w:pPr>
        <w:pStyle w:val="BodyText"/>
      </w:pPr>
      <w:r>
        <w:t xml:space="preserve">Согласно ст. 1</w:t>
      </w:r>
      <w:r>
        <w:t xml:space="preserve"> </w:t>
      </w:r>
      <w:bookmarkStart w:id="20" w:name="X29e0eedcae5ddb8b8eaf1ae791b8df131f36fc3"/>
      <w:r>
        <w:t xml:space="preserve">Федеральный закон от 24.06.1998 N 89-ФЗ «Об отходах производства и потребления»</w:t>
      </w:r>
      <w:bookmarkEnd w:id="20"/>
      <w:r>
        <w:t xml:space="preserve"> </w:t>
      </w:r>
      <w:r>
        <w:t xml:space="preserve">под утилизацией отходов понимается</w:t>
      </w:r>
      <w:r>
        <w:br/>
      </w:r>
      <w:r>
        <w:t xml:space="preserve">их использование для производства товаров (продукции), выполнения работ, оказания услуг, включая повторное применение отходов, в том числе повторное применение отходов по прямому назначению (рециклинг), их возврат</w:t>
      </w:r>
      <w:r>
        <w:br/>
      </w:r>
      <w:r>
        <w:t xml:space="preserve">в производственный цикл после соответствующей подготовки (регенерация).</w:t>
      </w:r>
    </w:p>
    <w:p>
      <w:pPr>
        <w:pStyle w:val="BodyText"/>
      </w:pPr>
      <w:r>
        <w:t xml:space="preserve">На основании п. 1 ст. 24.2 Федеральный закон от 24.06.1998 N 89-ФЗ</w:t>
      </w:r>
      <w:r>
        <w:br/>
      </w:r>
      <w:r>
        <w:t xml:space="preserve">«Об отходах производства и потребления» производители и импортеры товаров обязаны обеспечивать утилизацию отходов от использования этих товаров</w:t>
      </w:r>
      <w:r>
        <w:br/>
      </w:r>
      <w:r>
        <w:t xml:space="preserve">в соответствии с нормативами утилизации, установленными Правительством Российской Федерации.</w:t>
      </w:r>
    </w:p>
    <w:p>
      <w:pPr>
        <w:pStyle w:val="BodyText"/>
      </w:pPr>
      <w:r>
        <w:t xml:space="preserve">Крупногабаритные отходы - твердые коммунальные отходы (мебель, бытовая техника, отходы от текущего ремонта жилых помещений и др.), размер которых не позволяет осуществить их складирование в контейнерах.</w:t>
      </w:r>
    </w:p>
    <w:p>
      <w:pPr>
        <w:pStyle w:val="BodyText"/>
      </w:pPr>
      <w:r>
        <w:t xml:space="preserve">В целях обеспечения утилизации твердых коммунальных отходов потребители вправе заключать договоры на оказание услуг по утилизации твердых коммунальных отходов с региональным оператором, индивидуальным предпринимателем и (или) юридическим лицом, осуществляющими деятельность по утилизации твердых коммунальных отходов, в соответствии с гражданским законодательством Российской Федерации.</w:t>
      </w:r>
    </w:p>
    <w:p>
      <w:pPr>
        <w:pStyle w:val="BodyText"/>
      </w:pPr>
      <w:r>
        <w:t xml:space="preserve">Статья 6.35 КоАП РФ предусмотрена ответственность за несоблюдение санитарно-эпидемиологических требований при обращении с отходами производства и потребления.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http://mun-hormn.mos.ru/presscenter/news/detail/9409379.html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un-hormn.mos.ru" TargetMode="External" /><Relationship Type="http://schemas.openxmlformats.org/officeDocument/2006/relationships/hyperlink" Id="rId21" Target="http://mun-hormn.mos.ru/presscenter/news/detail/94093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un-hormn.mos.ru" TargetMode="External" /><Relationship Type="http://schemas.openxmlformats.org/officeDocument/2006/relationships/hyperlink" Id="rId21" Target="http://mun-hormn.mos.ru/presscenter/news/detail/94093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2024-07-12T10:11:31Z</dcterms:created>
  <dcterms:modified xsi:type="dcterms:W3CDTF">2024-07-12T10:11:31Z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