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19454e0fb938f7b7d131076903f75112796c5c"/>
    <w:p>
      <w:pPr>
        <w:pStyle w:val="Heading3"/>
      </w:pPr>
      <w:r>
        <w:t xml:space="preserve">Ответственность за неявку в военный комиссариат без уважительной причины либо по ее истечении</w:t>
      </w:r>
    </w:p>
    <w:p>
      <w:pPr>
        <w:pStyle w:val="FirstParagraph"/>
      </w:pPr>
      <w:r>
        <w:t xml:space="preserve">11.11.2020</w:t>
      </w:r>
    </w:p>
    <w:p>
      <w:pPr>
        <w:pStyle w:val="BodyText"/>
      </w:pPr>
      <w:r>
        <w:t xml:space="preserve">На мероприятия, связанные с призывом на военную службу, военный комиссариат вызывает граждан повестками. При этом явка по такой повестке является прямой обязанностью гражданина.</w:t>
      </w:r>
    </w:p>
    <w:p>
      <w:pPr>
        <w:pStyle w:val="BodyText"/>
      </w:pPr>
      <w:r>
        <w:t xml:space="preserve">Перечень уважительных причин неявки в военкомат по повестке предусмотрен ст. 7 Федерального закона «О воинской обязанности и военной службе». Такими причинами являются:</w:t>
      </w:r>
    </w:p>
    <w:p>
      <w:pPr>
        <w:pStyle w:val="BodyText"/>
      </w:pPr>
      <w:bookmarkStart w:id="20" w:name="dst100060"/>
      <w:bookmarkEnd w:id="20"/>
      <w:r>
        <w:t xml:space="preserve">заболевание или увечье гражданина, связанные с утратой трудоспособности;</w:t>
      </w:r>
    </w:p>
    <w:p>
      <w:pPr>
        <w:pStyle w:val="BodyText"/>
      </w:pPr>
      <w:bookmarkStart w:id="21" w:name="dst100061"/>
      <w:bookmarkEnd w:id="21"/>
      <w:r>
        <w:t xml:space="preserve">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w:t>
      </w:r>
    </w:p>
    <w:p>
      <w:pPr>
        <w:pStyle w:val="BodyText"/>
      </w:pPr>
      <w:bookmarkStart w:id="22" w:name="dst100062"/>
      <w:bookmarkEnd w:id="22"/>
      <w:r>
        <w:t xml:space="preserve">препятствие, возникшее в результате действия непреодолимой силы, или иное обстоятельство, не зависящее от воли гражданина;</w:t>
      </w:r>
    </w:p>
    <w:p>
      <w:pPr>
        <w:pStyle w:val="BodyText"/>
      </w:pPr>
      <w:bookmarkStart w:id="23" w:name="dst195"/>
      <w:bookmarkEnd w:id="23"/>
      <w:r>
        <w:t xml:space="preserve">иные причины, признанные уважительными призывной комиссией, комиссией по первоначальной постановке на воинский учет или судом.</w:t>
      </w:r>
    </w:p>
    <w:p>
      <w:pPr>
        <w:pStyle w:val="BodyText"/>
      </w:pPr>
      <w:r>
        <w:t xml:space="preserve">При этом причины будут признаны уважительными только при условии их документального подтверждения (</w:t>
      </w:r>
      <w:hyperlink r:id="rId24">
        <w:r>
          <w:rPr>
            <w:rStyle w:val="Hyperlink"/>
          </w:rPr>
          <w:t xml:space="preserve">п. 2 ст. 7</w:t>
        </w:r>
      </w:hyperlink>
      <w:r>
        <w:t xml:space="preserve"> </w:t>
      </w:r>
      <w:r>
        <w:t xml:space="preserve">Федерального закона).</w:t>
      </w:r>
    </w:p>
    <w:p>
      <w:pPr>
        <w:pStyle w:val="BodyText"/>
      </w:pPr>
      <w:r>
        <w:t xml:space="preserve">По истечении действия уважительной причины гражданин обязан явиться в военный комиссариат немедленно, без дополнительного вызова, то есть независимо от окончания призывной кампании (Приложение № 30 к Инструкции по подготовке и проведению мероприятий, связанных с призывом на военную службу граждан Российской Федерации, не пребывающих в запасе, утв. Приказом Министра обороны РФ от 02.10.2007г. № 400).</w:t>
      </w:r>
    </w:p>
    <w:p>
      <w:pPr>
        <w:pStyle w:val="BodyText"/>
      </w:pPr>
      <w:r>
        <w:t xml:space="preserve">В случае неявки без уважительных причин по повестке гражданин считается уклоняющимся от военной службы и привлекается к ответственности (</w:t>
      </w:r>
      <w:hyperlink r:id="rId25">
        <w:r>
          <w:rPr>
            <w:rStyle w:val="Hyperlink"/>
          </w:rPr>
          <w:t xml:space="preserve">п. 1 ст. 7</w:t>
        </w:r>
      </w:hyperlink>
      <w:r>
        <w:t xml:space="preserve">,</w:t>
      </w:r>
      <w:r>
        <w:t xml:space="preserve"> </w:t>
      </w:r>
      <w:hyperlink r:id="rId26">
        <w:r>
          <w:rPr>
            <w:rStyle w:val="Hyperlink"/>
          </w:rPr>
          <w:t xml:space="preserve">п. 1 ст. 10</w:t>
        </w:r>
      </w:hyperlink>
      <w:r>
        <w:t xml:space="preserve">,</w:t>
      </w:r>
      <w:r>
        <w:t xml:space="preserve"> </w:t>
      </w:r>
      <w:hyperlink r:id="rId27">
        <w:r>
          <w:rPr>
            <w:rStyle w:val="Hyperlink"/>
          </w:rPr>
          <w:t xml:space="preserve">п. 4 ст. 31</w:t>
        </w:r>
      </w:hyperlink>
      <w:r>
        <w:t xml:space="preserve"> </w:t>
      </w:r>
      <w:r>
        <w:t xml:space="preserve">Федерального закона «О воинской обязанности и военной службе» от 28.03.1998г. № 53-ФЗ;</w:t>
      </w:r>
      <w:r>
        <w:t xml:space="preserve"> </w:t>
      </w:r>
      <w:hyperlink r:id="rId28">
        <w:r>
          <w:rPr>
            <w:rStyle w:val="Hyperlink"/>
          </w:rPr>
          <w:t xml:space="preserve">ст. 21.5</w:t>
        </w:r>
      </w:hyperlink>
      <w:r>
        <w:t xml:space="preserve"> </w:t>
      </w:r>
      <w:r>
        <w:t xml:space="preserve">КоАП РФ;</w:t>
      </w:r>
      <w:r>
        <w:t xml:space="preserve"> </w:t>
      </w:r>
      <w:hyperlink r:id="rId29">
        <w:r>
          <w:rPr>
            <w:rStyle w:val="Hyperlink"/>
          </w:rPr>
          <w:t xml:space="preserve">ст. 328</w:t>
        </w:r>
      </w:hyperlink>
      <w:r>
        <w:t xml:space="preserve"> </w:t>
      </w:r>
      <w:r>
        <w:t xml:space="preserve">УК РФ).</w:t>
      </w:r>
    </w:p>
    <w:p>
      <w:pPr>
        <w:pStyle w:val="BodyText"/>
      </w:pPr>
      <w:r>
        <w:t xml:space="preserve">Так, в соответствии со</w:t>
      </w:r>
      <w:r>
        <w:t xml:space="preserve"> </w:t>
      </w:r>
      <w:hyperlink r:id="rId28">
        <w:r>
          <w:rPr>
            <w:rStyle w:val="Hyperlink"/>
          </w:rPr>
          <w:t xml:space="preserve">ст. 21.5</w:t>
        </w:r>
      </w:hyperlink>
      <w:r>
        <w:t xml:space="preserve"> </w:t>
      </w:r>
      <w:r>
        <w:t xml:space="preserve">КоАП РФ неявка по повестке в установленные время и место без уважительной причины влечет предупреждение или наложение административного штрафа в размере от 500 до 3000 руб. Незаконное уклонение от призыва на военную службу наказывается штрафом в размере до 200 000 руб. или в размере заработной платы или иного дохода осужденного за период до 18 месяцев, либо принудительными работами на срок до двух лет, либо арестом на срок до шести месяцев, либо лишением свободы на срок до двух лет (</w:t>
      </w:r>
      <w:hyperlink r:id="rId30">
        <w:r>
          <w:rPr>
            <w:rStyle w:val="Hyperlink"/>
          </w:rPr>
          <w:t xml:space="preserve">ч. 1 ст. 328</w:t>
        </w:r>
      </w:hyperlink>
      <w:r>
        <w:t xml:space="preserve"> </w:t>
      </w:r>
      <w:r>
        <w:t xml:space="preserve">УК РФ).</w:t>
      </w:r>
    </w:p>
    <w:p>
      <w:pPr>
        <w:pStyle w:val="BodyText"/>
      </w:pPr>
      <w:r>
        <w:t xml:space="preserve">При этом уголовная ответственность наступает, если призывник таким образом намерен избежать обязанности нести военную службу по призыву. Об этом могут свидетельствовать, в частности, неоднократные неявки без уважительных причин по повесткам военного комиссариата на мероприятия, связанные с призывом на военную службу, в период очередного призыва либо в течение нескольких призывов подряд, неявка в военный комиссариат по истечении действия уважительной причины (п. 4 Постановления Пленума Верховного Суда РФ "О практике рассмотрения судами уголовных дел об уклонении от призыва на военную службу и от прохождения военной или альтернативной гражданской службы" от 03.04.2008г. № 3).</w:t>
      </w:r>
    </w:p>
    <w:p>
      <w:pPr>
        <w:pStyle w:val="BodyText"/>
      </w:pPr>
      <w:r>
        <w:br/>
      </w:r>
    </w:p>
    <w:p>
      <w:pPr>
        <w:pStyle w:val="BodyText"/>
      </w:pPr>
      <w:r>
        <w:t xml:space="preserve">Адрес страницы:</w:t>
      </w:r>
      <w:r>
        <w:t xml:space="preserve"> </w:t>
      </w:r>
      <w:hyperlink r:id="rId31">
        <w:r>
          <w:rPr>
            <w:rStyle w:val="Hyperlink"/>
          </w:rPr>
          <w:t xml:space="preserve">http://mun-hormn.mos.ru/presscenter/news/detail/9415768.html</w:t>
        </w:r>
      </w:hyperlink>
    </w:p>
    <w:p>
      <w:pPr>
        <w:pStyle w:val="BodyText"/>
      </w:pPr>
      <w:hyperlink r:id="rId32">
        <w:r>
          <w:rPr>
            <w:rStyle w:val="Hyperlink"/>
          </w:rPr>
          <w:t xml:space="preserve">Администрация муниципального округа Хорошево-Мневники в городе Москве</w:t>
        </w:r>
      </w:hyperlink>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consultantplus://offline/ref=FBA1AABC4183A133389FFE956DB5422DB2194E00401C882187888EE946CB0E7F668FF2B092T7f3K" TargetMode="External" /><Relationship Type="http://schemas.openxmlformats.org/officeDocument/2006/relationships/hyperlink" Id="rId27" Target="consultantplus://offline/ref=FBA1AABC4183A133389FFE956DB5422DB2194E00401C882187888EE946CB0E7F668FF2B29073D4ADT1f6K" TargetMode="External" /><Relationship Type="http://schemas.openxmlformats.org/officeDocument/2006/relationships/hyperlink" Id="rId25" Target="consultantplus://offline/ref=FBA1AABC4183A133389FFE956DB5422DB2194E00401C882187888EE946CB0E7F668FF2B29073D7A8T1fAK" TargetMode="External" /><Relationship Type="http://schemas.openxmlformats.org/officeDocument/2006/relationships/hyperlink" Id="rId24" Target="consultantplus://offline/ref=FBA1AABC4183A133389FFE956DB5422DB2194E00401C882187888EE946CB0E7F668FF2B7T9f4K" TargetMode="External" /><Relationship Type="http://schemas.openxmlformats.org/officeDocument/2006/relationships/hyperlink" Id="rId28" Target="consultantplus://offline/ref=FBA1AABC4183A133389FFE956DB5422DB2194E014915882187888EE946CB0E7F668FF2B29072DFAET1f4K" TargetMode="External" /><Relationship Type="http://schemas.openxmlformats.org/officeDocument/2006/relationships/hyperlink" Id="rId30" Target="consultantplus://offline/ref=FBA1AABC4183A133389FFE956DB5422DB2194E03441D882187888EE946CB0E7F668FF2B29071D6ACT1f4K" TargetMode="External" /><Relationship Type="http://schemas.openxmlformats.org/officeDocument/2006/relationships/hyperlink" Id="rId29" Target="consultantplus://offline/ref=FBA1AABC4183A133389FFE956DB5422DB2194E03441D882187888EE946CB0E7F668FF2B29071D6ACT1f7K" TargetMode="External" /><Relationship Type="http://schemas.openxmlformats.org/officeDocument/2006/relationships/hyperlink" Id="rId32" Target="http://mun-hormn.mos.ru" TargetMode="External" /><Relationship Type="http://schemas.openxmlformats.org/officeDocument/2006/relationships/hyperlink" Id="rId31" Target="http://mun-hormn.mos.ru/presscenter/news/detail/9415768.html" TargetMode="External" /></Relationships>
</file>

<file path=word/_rels/footnotes.xml.rels><?xml version="1.0" encoding="UTF-8"?><Relationships xmlns="http://schemas.openxmlformats.org/package/2006/relationships"><Relationship Type="http://schemas.openxmlformats.org/officeDocument/2006/relationships/hyperlink" Id="rId26" Target="consultantplus://offline/ref=FBA1AABC4183A133389FFE956DB5422DB2194E00401C882187888EE946CB0E7F668FF2B092T7f3K" TargetMode="External" /><Relationship Type="http://schemas.openxmlformats.org/officeDocument/2006/relationships/hyperlink" Id="rId27" Target="consultantplus://offline/ref=FBA1AABC4183A133389FFE956DB5422DB2194E00401C882187888EE946CB0E7F668FF2B29073D4ADT1f6K" TargetMode="External" /><Relationship Type="http://schemas.openxmlformats.org/officeDocument/2006/relationships/hyperlink" Id="rId25" Target="consultantplus://offline/ref=FBA1AABC4183A133389FFE956DB5422DB2194E00401C882187888EE946CB0E7F668FF2B29073D7A8T1fAK" TargetMode="External" /><Relationship Type="http://schemas.openxmlformats.org/officeDocument/2006/relationships/hyperlink" Id="rId24" Target="consultantplus://offline/ref=FBA1AABC4183A133389FFE956DB5422DB2194E00401C882187888EE946CB0E7F668FF2B7T9f4K" TargetMode="External" /><Relationship Type="http://schemas.openxmlformats.org/officeDocument/2006/relationships/hyperlink" Id="rId28" Target="consultantplus://offline/ref=FBA1AABC4183A133389FFE956DB5422DB2194E014915882187888EE946CB0E7F668FF2B29072DFAET1f4K" TargetMode="External" /><Relationship Type="http://schemas.openxmlformats.org/officeDocument/2006/relationships/hyperlink" Id="rId30" Target="consultantplus://offline/ref=FBA1AABC4183A133389FFE956DB5422DB2194E03441D882187888EE946CB0E7F668FF2B29071D6ACT1f4K" TargetMode="External" /><Relationship Type="http://schemas.openxmlformats.org/officeDocument/2006/relationships/hyperlink" Id="rId29" Target="consultantplus://offline/ref=FBA1AABC4183A133389FFE956DB5422DB2194E03441D882187888EE946CB0E7F668FF2B29071D6ACT1f7K" TargetMode="External" /><Relationship Type="http://schemas.openxmlformats.org/officeDocument/2006/relationships/hyperlink" Id="rId32" Target="http://mun-hormn.mos.ru" TargetMode="External" /><Relationship Type="http://schemas.openxmlformats.org/officeDocument/2006/relationships/hyperlink" Id="rId31" Target="http://mun-hormn.mos.ru/presscenter/news/detail/94157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2025-07-19T08:14:52Z</dcterms:created>
  <dcterms:modified xsi:type="dcterms:W3CDTF">2025-07-19T08:14:52Z</dcterms:modified>
</cp:coreProperties>
</file>

<file path=docProps/custom.xml><?xml version="1.0" encoding="utf-8"?>
<Properties xmlns="http://schemas.openxmlformats.org/officeDocument/2006/custom-properties" xmlns:vt="http://schemas.openxmlformats.org/officeDocument/2006/docPropsVTypes"/>
</file>