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9697fa1cb4e73b55ada96e5e5b549f77c80c9"/>
    <w:p>
      <w:pPr>
        <w:pStyle w:val="Heading3"/>
      </w:pPr>
      <w:r>
        <w:t xml:space="preserve">В Трудовой кодекс внесены изменения, регулирующие систему оплаты неиспользованных дней отдыха при увольнении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Президент подписал Федеральный закон «О внесении изменений в статью 153 Трудового кодекса</w:t>
      </w:r>
    </w:p>
    <w:p>
      <w:pPr>
        <w:pStyle w:val="BodyText"/>
      </w:pPr>
      <w:r>
        <w:t xml:space="preserve">Федеральным законом вносятся изменения в статью 153 Трудового кодекса Российской Федерации в целях реализации постановления Конституционного Суда Российской Федерации от 6 декабря 2023 года № 56-П.</w:t>
      </w:r>
    </w:p>
    <w:p>
      <w:pPr>
        <w:pStyle w:val="BodyText"/>
      </w:pPr>
      <w:r>
        <w:t xml:space="preserve">В соответствии с Федеральным законом день отдыха за работу в выходной или нерабочий праздничный день по желанию работника может быть использован в течение одного года со дня работы в выходной или праздничный день либо присоединён к отпуску, предоставляемому в указанный период.</w:t>
      </w:r>
    </w:p>
    <w:p>
      <w:pPr>
        <w:pStyle w:val="BodyText"/>
      </w:pPr>
      <w:r>
        <w:t xml:space="preserve">В случае, если на день увольнения работника имеется не использованный им в период трудовой деятельности у работодателя день отдыха за работу в выходной или нерабочий праздничный день, в день увольнения такому работнику выплачивается разница между полагавшейся ему оплатой работы в выходной или нерабочий праздничный день и фактически произведённой оплатой работы в этот день.</w:t>
      </w:r>
    </w:p>
    <w:p>
      <w:pPr>
        <w:pStyle w:val="BodyText"/>
      </w:pPr>
      <w:r>
        <w:t xml:space="preserve">Указанная разница выплачивается за все дни отдыха за работу в выходные или нерабочие праздничные дни, не использованные работником в период трудовой деятельности у работодателя.</w:t>
      </w:r>
    </w:p>
    <w:p>
      <w:pPr>
        <w:pStyle w:val="BodyText"/>
      </w:pPr>
      <w:r>
        <w:t xml:space="preserve">Федеральный закон вступает в силу с 1 марта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http://mun-hormn.mos.ru/prosecutor-s-office/detail/12718910.html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2024-12-18T09:27:26Z</dcterms:created>
  <dcterms:modified xsi:type="dcterms:W3CDTF">2024-12-18T09:27:26Z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