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c6ec14f419699ad7a7668c625137ceae7d027"/>
    <w:p>
      <w:pPr>
        <w:pStyle w:val="Heading3"/>
      </w:pPr>
      <w:r>
        <w:t xml:space="preserve">По постановлению Хорошевского межрайонного прокурора г. Москвы руководитель коммерческой организации привлечен к административной ответственности за систематическое нарушение трудовых прав работников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В рамках рассмотрения коллективного обращения работников коммерческой организации по факту нарушения трудового законодательства межрайонной прокуратурой проведена проверка, в ходе которой установлено, что коммерческой организацией массово нарушаются трудовые права работников на своевременную выплату заработной платы, а также не начисляются компенсационные выплаты. </w:t>
      </w:r>
    </w:p>
    <w:p>
      <w:pPr>
        <w:pStyle w:val="BodyText"/>
      </w:pPr>
      <w:r>
        <w:t xml:space="preserve">Ранее юридическое и должностное лица привлекались к административной ответственности по ч. 6 ст. 5.27 КоАП РФ за аналогичные нарушения. Постановлением мирового судьи генеральный директор коммерческой организации привлечен к административной ответственности по ч. 7 ст. 5.27 КоАП РФ в виде дисквалификации сроком на 1 год. </w:t>
      </w:r>
    </w:p>
    <w:p>
      <w:pPr>
        <w:pStyle w:val="BodyText"/>
      </w:pPr>
      <w:r>
        <w:t xml:space="preserve">Также с целью устранения выявленных нарушений межрайонной прокуратурой направлены исковые заявления в защиту трудовых прав работников. </w:t>
      </w:r>
    </w:p>
    <w:p>
      <w:pPr>
        <w:pStyle w:val="BodyText"/>
      </w:pPr>
      <w:r>
        <w:t xml:space="preserve">В настоящее время решениями Хорошевского районного суда г. Москвы указанные исковые заявления удовлетворены в части задолженности по заработной плате на общую сумму 1 185 000 рублей, в части компенсации за задержку выплаты заработной платы – 485 000 рублей».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http://mun-hormn.mos.ru/prosecutor-s-office/detail/12729514.html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9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29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2025-07-18T05:41:53Z</dcterms:created>
  <dcterms:modified xsi:type="dcterms:W3CDTF">2025-07-18T05:41:53Z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