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ddf9d0fa0b7632ecca588c911e3e1dbaeac35"/>
    <w:p>
      <w:pPr>
        <w:pStyle w:val="Heading3"/>
      </w:pPr>
      <w:r>
        <w:t xml:space="preserve">Прокуратура контролирует установление всех обстоятельств происшествия на строительном объекте на северо-западе столицы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На строительном объекте по ул. Шеногина при производстве работ в траншею упал 33-летний мужчина.</w:t>
      </w:r>
    </w:p>
    <w:p>
      <w:pPr>
        <w:pStyle w:val="BodyText"/>
      </w:pPr>
      <w:r>
        <w:t xml:space="preserve">Пострадавший в тяжелом состоянии доставлен в медицинское учреждение.</w:t>
      </w:r>
    </w:p>
    <w:p>
      <w:pPr>
        <w:pStyle w:val="BodyText"/>
      </w:pPr>
      <w:r>
        <w:t xml:space="preserve">Хорошевская межрайонная прокуратура контролирует установление всех обстоятельств произошедшего.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2025-06-28T03:27:56Z</dcterms:created>
  <dcterms:modified xsi:type="dcterms:W3CDTF">2025-06-28T03:27:56Z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