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14167f511c6023d2b7721f8f25c545b826f0c"/>
    <w:p>
      <w:pPr>
        <w:pStyle w:val="Heading3"/>
      </w:pPr>
      <w:r>
        <w:t xml:space="preserve">В целях оказания субъектам предпринимательской деятельности помощи по правовым вопросам, реализации их права на личное обращение в органы прокуратуры Российской Федерации в Хорошевский межрайонной прокуратуре организован Всероссийский день приема предприн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t xml:space="preserve">В целях оказания субъектам предпринимательской деятельности помощи по правовым вопросам, реализации их права на личное обращение в органы прокуратуры Российской Федерации в Хорошевский межрайонной прокуратуре организован Всероссийский день приема предпринимателей.</w:t>
      </w:r>
    </w:p>
    <w:p>
      <w:pPr>
        <w:pStyle w:val="BodyText"/>
      </w:pPr>
      <w:r>
        <w:t xml:space="preserve">Прием проводят уполномоченные лица в первый вторник каждого месяца в рабочее время в здании межрайонной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http://mun-hormn.mos.ru/prosecutor-s-office/detail/6038125.html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6038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6038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2025-06-26T11:25:45Z</dcterms:created>
  <dcterms:modified xsi:type="dcterms:W3CDTF">2025-06-26T11:25:45Z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