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3e8e5fda299394707397596e2b3f116a49ce6"/>
    <w:p>
      <w:pPr>
        <w:pStyle w:val="Heading3"/>
      </w:pPr>
      <w:r>
        <w:t xml:space="preserve">Хорошевская межрайонная прокуратура г. Москвы провела проверку соблюдения законодательства о защите прав субъектов предпринимательской деятельности при осуществлении закупок товаров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  <w:r>
        <w:t xml:space="preserve">Хорошевская межрайонная прокуратура г. Москвы провела проверку соблюдения законодательства о защите прав субъектов предпринимательской деятельности при осуществлении закупок товаров, работ, услуг для обеспечения государственных и муниципальных нужд, в части обязанности заказчиков осуществлять закупки у субъектов малого предпринимательства, социально ориентированных некоммерческих организациях.</w:t>
      </w:r>
    </w:p>
    <w:p>
      <w:pPr>
        <w:pStyle w:val="BodyText"/>
      </w:pPr>
      <w:r>
        <w:t xml:space="preserve">Федеральным законом от 24.07.2007 № 209-ФЗ «О развитии малого и среднего предпринимательства в Российской Федерации» в целях реализации государственной политики в области развития малого и среднего предпринимательства в России в качестве мер, принимаемых федеральными законами и иными нормативными правовыми актами РФ, определены особенности участия субъектов малого предпринимательства в размещении заказов.</w:t>
      </w:r>
    </w:p>
    <w:p>
      <w:pPr>
        <w:pStyle w:val="BodyText"/>
      </w:pPr>
      <w:r>
        <w:t xml:space="preserve">Указанные особенности установлены Федеральным законом от 05.04.2013 № 44-ФЗ «О контрактной системе в сфере закупок товаров, работ, услуг для обеспечения государственных и муниципальных нужд», в соответствии с ч. 1 ст. 30 которого заказчики обязаны осуществлять закупки у субъектов малого предпринимательства, социально ориентированных некоммерческих организаций в объеме не менее чем пятнадцать процентов совокупного годового объема закупок.</w:t>
      </w:r>
    </w:p>
    <w:p>
      <w:pPr>
        <w:pStyle w:val="BodyText"/>
      </w:pPr>
      <w:r>
        <w:t xml:space="preserve">В ходе проведенной проверки установлено, что ГБОУ г. Москвы «Гимназия № 1517» в 2016 году осуществило закупки у субъектов малого предпринимательства, социально ориентированных некоммерческих организаций в объеме 5,92% от совокупного годового объема закупок.</w:t>
      </w:r>
    </w:p>
    <w:p>
      <w:pPr>
        <w:pStyle w:val="BodyText"/>
      </w:pPr>
      <w:r>
        <w:t xml:space="preserve">Аналогичные нарушения выявлены в ГБПОУ г. Москвы «Колледж малого бизнеса № 48», ГБПОУ г. Москвы «Техникум малого бизнеса № 67».</w:t>
      </w:r>
    </w:p>
    <w:p>
      <w:pPr>
        <w:pStyle w:val="BodyText"/>
      </w:pPr>
      <w:r>
        <w:t xml:space="preserve">Так ГБПОУ г. Москвы «Колледж малого бизнеса № 48» в 2016 году осуществило закупки у субъектов малого предпринимательства, социально ориентированных некоммерческих организаций в объеме 0%, а ГБПОУ г. Москвы «Техникум малого бизнеса № 67» в объеме 7,68 %.</w:t>
      </w:r>
    </w:p>
    <w:p>
      <w:pPr>
        <w:pStyle w:val="BodyText"/>
      </w:pPr>
      <w:r>
        <w:t xml:space="preserve">По факту допущенных нарушений Хорошевский межрайонный прокурор г. Москвы возбудил в отношении должностных лиц три дела об административном правонарушении, предусмотренном ч. 11 ст. 7.30 Кодекса Российской Федерации об административных правонарушениях (осуществление закупок товаров, работ, услуг для обеспечения государственных и муниципальных нужд у субъектов малого предпринимательства, социально ориентированных некоммерческих организаций в размере менее размера, предусмотренного законодательством Российской Федерации о контрактной системе в сфере закупок).</w:t>
      </w:r>
    </w:p>
    <w:p>
      <w:pPr>
        <w:pStyle w:val="BodyText"/>
      </w:pPr>
      <w:r>
        <w:t xml:space="preserve">Постановлением УФАС России по г. Москве виновное лицо ГБОУ г. Москвы «Гимназия № 1517» привлечено к административной ответственности. Результаты рассмотрения остальных административных дел находятся на контроле.</w:t>
      </w:r>
    </w:p>
    <w:p>
      <w:pPr>
        <w:pStyle w:val="BodyText"/>
      </w:pPr>
      <w:r>
        <w:t xml:space="preserve">Кроме того, в адрес директоров учреждений внесены представления, результаты рассмотрения которых межрайонной прокуратурой контролируются.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http://mun-hormn.mos.ru/prosecutor-s-office/detail/7062723.html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2024-08-22T00:36:07Z</dcterms:created>
  <dcterms:modified xsi:type="dcterms:W3CDTF">2024-08-22T00:36:07Z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