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fb24af95b969d9e967c9c700e18ccf9ca0bd1"/>
    <w:p>
      <w:pPr>
        <w:pStyle w:val="Heading3"/>
      </w:pPr>
      <w:r>
        <w:t xml:space="preserve">«Хорошевской межрайонной прокуратурой г. Москвы 12.12.2018, в День Конституции Российской Федерации, с 12:00 до 20:00 по московскому времени проводится общероссийский день приема граждан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t xml:space="preserve">Обращение в межрайонную прокуратуру может быть передано не только на личном приеме, но также и посредством видео-конференц-связи, видеосвязи, аудиосвязи или иных видов связи».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http://mun-hormn.mos.ru/prosecutor-s-office/detail/7762062.html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762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762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2024-08-26T19:42:22Z</dcterms:created>
  <dcterms:modified xsi:type="dcterms:W3CDTF">2024-08-26T19:42:22Z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