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a14c329421aa6d1be67dc5bd4d2cb3be028b7"/>
    <w:p>
      <w:pPr>
        <w:pStyle w:val="Heading3"/>
      </w:pPr>
      <w:r>
        <w:t xml:space="preserve">Прокурор об актуальном законодательстве: меры поддержки субъектов малого и среднего бизнеса могут распространить на "самозанятых" граждан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Соответствующий проект Федерального закона разработан Минэкономразвития России.</w:t>
      </w:r>
    </w:p>
    <w:p>
      <w:pPr>
        <w:pStyle w:val="BodyText"/>
      </w:pPr>
      <w:r>
        <w:t xml:space="preserve">Вносятся поправки в Федеральный закон "О развитии малого и среднего предпринимательства в Российской Федерации", согласно которым отдельные меры господдержки субъектов МСП (а именно, поддержка финансовая, имущественная, информационная, консультационная и т.д.), а также меры поддержки, предоставляемые АО "Корпорация "МСП" и его дочерними обществами, будут распространяться на физических лиц, применяющих специальный налоговый режим "Налог на профессиональный доход".</w:t>
      </w:r>
    </w:p>
    <w:p>
      <w:pPr>
        <w:pStyle w:val="BodyText"/>
      </w:pPr>
      <w:r>
        <w:t xml:space="preserve">Предусматривается включение соответствующих положений об оказании поддержки самозанятым гражданам в госпрограммы (подпрограммы) РФ, субъектов РФ и муниципальные программы (подпрограммы), содержащие мероприятия, направленные на развитие МСП.</w:t>
      </w:r>
    </w:p>
    <w:p>
      <w:pPr>
        <w:pStyle w:val="BodyText"/>
      </w:pPr>
      <w:r>
        <w:t xml:space="preserve">Оказание информационной поддержки самозанятым гражданам будет осуществляться органами госвласти и органами местного самоуправления посредством размещения в информационных системах, на официальных сайтах информационной поддержки субъектов МСП в сети Интернет и в информационно-телекоммуникационных сетях информации, необходимой для развития деятельности самозанятых граждан.</w:t>
      </w:r>
    </w:p>
    <w:p>
      <w:pPr>
        <w:pStyle w:val="BodyText"/>
      </w:pPr>
      <w:r>
        <w:t xml:space="preserve">Срок вступления в силу предлагаемых поправок - 1 января 2020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2025-07-10T12:52:16Z</dcterms:created>
  <dcterms:modified xsi:type="dcterms:W3CDTF">2025-07-10T12:52:16Z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