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153b26fffa34d0ca42bb5ac993f061604acd"/>
    <w:p>
      <w:pPr>
        <w:pStyle w:val="Heading3"/>
      </w:pPr>
      <w:r>
        <w:t xml:space="preserve">После вмешательства Хорошевской межрайонной прокуратуры возбуждено уголовное дело по факту мошенничества в особо крупном размере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Хорошевская межрайонная прокуратура провела проверку информации, поступившей из Федеральной службы государственной регистрации, кадастра и картографии (Росреестр) и изучила материал проверки поднадзорного отдела МВД России по г. Москве.</w:t>
      </w:r>
    </w:p>
    <w:p>
      <w:pPr>
        <w:pStyle w:val="BodyText"/>
      </w:pPr>
      <w:r>
        <w:t xml:space="preserve">Как показала проверка, неустановленные лица подали на государственную регистрацию заведомо подложный нотариальный договор дарения и, введя в заблуждение сотрудников Управления Росреестра по г. Москве, проводивших регистрационные действия, завладели объектом недвижимости площадью 48,9 кв.м., кадастровой стоимостью более 6,3 млн рублей.</w:t>
      </w:r>
    </w:p>
    <w:p>
      <w:pPr>
        <w:pStyle w:val="BodyText"/>
      </w:pPr>
      <w:r>
        <w:t xml:space="preserve">Материалы прокурорской проверки в порядке п. 2 ч. 2 ст. 37 УПК РФ направлены в следственные органы для решения вопроса об уголовном преследовании виновных лиц. По результатам их рассмотрения возбуждено уголовное дело по признакам преступления, предусмотренного ч. 4 ст.159 УК РФ (мошенничество, совершенное в особо крупном размере).</w:t>
      </w:r>
    </w:p>
    <w:p>
      <w:pPr>
        <w:pStyle w:val="BodyText"/>
      </w:pPr>
      <w:r>
        <w:t xml:space="preserve">В настоящее время по уголовному делу проводится комплекс оперативно-розыскных мероприятий. Ход и результаты расследования поставлены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2025-07-25T01:02:42Z</dcterms:created>
  <dcterms:modified xsi:type="dcterms:W3CDTF">2025-07-25T01:02:42Z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